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8F78" w14:textId="77777777" w:rsidR="009C03DD" w:rsidRPr="009C03DD" w:rsidRDefault="009C03DD" w:rsidP="009C03DD">
      <w:pPr>
        <w:spacing w:line="360" w:lineRule="auto"/>
        <w:jc w:val="both"/>
        <w:rPr>
          <w:rFonts w:ascii="Times New Roman" w:eastAsia="Times New Roman" w:hAnsi="Times New Roman" w:cs="Times New Roman"/>
          <w:lang w:eastAsia="tr-TR"/>
        </w:rPr>
      </w:pPr>
      <w:r w:rsidRPr="009C03DD">
        <w:rPr>
          <w:rFonts w:ascii="Roboto" w:eastAsia="Times New Roman" w:hAnsi="Roboto" w:cs="Times New Roman"/>
          <w:sz w:val="23"/>
          <w:szCs w:val="23"/>
          <w:lang w:eastAsia="tr-TR"/>
        </w:rPr>
        <w:t>﻿</w:t>
      </w:r>
    </w:p>
    <w:p w14:paraId="3589A09F" w14:textId="30E9D9DD" w:rsidR="009C03DD" w:rsidRPr="009C03DD" w:rsidRDefault="009C03DD" w:rsidP="009C03DD">
      <w:pPr>
        <w:spacing w:before="100" w:beforeAutospacing="1" w:after="100" w:afterAutospacing="1" w:line="360" w:lineRule="auto"/>
        <w:jc w:val="both"/>
        <w:outlineLvl w:val="3"/>
        <w:rPr>
          <w:rFonts w:ascii="Roboto" w:eastAsia="Times New Roman" w:hAnsi="Roboto" w:cs="Times New Roman"/>
          <w:b/>
          <w:bCs/>
          <w:lang w:eastAsia="tr-TR"/>
        </w:rPr>
      </w:pPr>
      <w:r w:rsidRPr="009C03DD">
        <w:rPr>
          <w:rFonts w:ascii="Roboto" w:eastAsia="Times New Roman" w:hAnsi="Roboto" w:cs="Times New Roman"/>
          <w:b/>
          <w:bCs/>
          <w:lang w:eastAsia="tr-TR"/>
        </w:rPr>
        <w:t>T.C.</w:t>
      </w:r>
      <w:r>
        <w:rPr>
          <w:rFonts w:ascii="Roboto" w:eastAsia="Times New Roman" w:hAnsi="Roboto" w:cs="Times New Roman"/>
          <w:b/>
          <w:bCs/>
          <w:lang w:eastAsia="tr-TR"/>
        </w:rPr>
        <w:t xml:space="preserve"> </w:t>
      </w:r>
      <w:r w:rsidRPr="009C03DD">
        <w:rPr>
          <w:rFonts w:ascii="Roboto" w:eastAsia="Times New Roman" w:hAnsi="Roboto" w:cs="Times New Roman"/>
          <w:b/>
          <w:bCs/>
          <w:lang w:eastAsia="tr-TR"/>
        </w:rPr>
        <w:t>YARGITAY</w:t>
      </w:r>
      <w:r>
        <w:rPr>
          <w:rFonts w:ascii="Roboto" w:eastAsia="Times New Roman" w:hAnsi="Roboto" w:cs="Times New Roman"/>
          <w:b/>
          <w:bCs/>
          <w:lang w:eastAsia="tr-TR"/>
        </w:rPr>
        <w:t xml:space="preserve"> </w:t>
      </w:r>
      <w:r w:rsidRPr="009C03DD">
        <w:rPr>
          <w:rFonts w:ascii="Roboto" w:eastAsia="Times New Roman" w:hAnsi="Roboto" w:cs="Times New Roman"/>
          <w:b/>
          <w:bCs/>
          <w:lang w:eastAsia="tr-TR"/>
        </w:rPr>
        <w:t>1. CEZA DAİRESİ</w:t>
      </w:r>
    </w:p>
    <w:p w14:paraId="7BE3BAB7" w14:textId="77777777" w:rsidR="009C03DD" w:rsidRPr="009C03DD" w:rsidRDefault="009C03DD" w:rsidP="009C03DD">
      <w:pPr>
        <w:spacing w:before="100" w:beforeAutospacing="1" w:after="100" w:afterAutospacing="1" w:line="360" w:lineRule="auto"/>
        <w:jc w:val="both"/>
        <w:outlineLvl w:val="3"/>
        <w:rPr>
          <w:rFonts w:ascii="Roboto" w:eastAsia="Times New Roman" w:hAnsi="Roboto" w:cs="Times New Roman"/>
          <w:b/>
          <w:bCs/>
          <w:lang w:eastAsia="tr-TR"/>
        </w:rPr>
      </w:pPr>
      <w:r w:rsidRPr="009C03DD">
        <w:rPr>
          <w:rFonts w:ascii="Roboto" w:eastAsia="Times New Roman" w:hAnsi="Roboto" w:cs="Times New Roman"/>
          <w:b/>
          <w:bCs/>
          <w:lang w:eastAsia="tr-TR"/>
        </w:rPr>
        <w:t>E. 2020/3420</w:t>
      </w:r>
    </w:p>
    <w:p w14:paraId="6A7EFF34" w14:textId="77777777" w:rsidR="009C03DD" w:rsidRPr="009C03DD" w:rsidRDefault="009C03DD" w:rsidP="009C03DD">
      <w:pPr>
        <w:spacing w:before="100" w:beforeAutospacing="1" w:after="100" w:afterAutospacing="1" w:line="360" w:lineRule="auto"/>
        <w:jc w:val="both"/>
        <w:outlineLvl w:val="3"/>
        <w:rPr>
          <w:rFonts w:ascii="Roboto" w:eastAsia="Times New Roman" w:hAnsi="Roboto" w:cs="Times New Roman"/>
          <w:b/>
          <w:bCs/>
          <w:lang w:eastAsia="tr-TR"/>
        </w:rPr>
      </w:pPr>
      <w:r w:rsidRPr="009C03DD">
        <w:rPr>
          <w:rFonts w:ascii="Roboto" w:eastAsia="Times New Roman" w:hAnsi="Roboto" w:cs="Times New Roman"/>
          <w:b/>
          <w:bCs/>
          <w:lang w:eastAsia="tr-TR"/>
        </w:rPr>
        <w:t>K. 2021/6592</w:t>
      </w:r>
    </w:p>
    <w:p w14:paraId="2511707E" w14:textId="77777777" w:rsidR="009C03DD" w:rsidRPr="009C03DD" w:rsidRDefault="009C03DD" w:rsidP="009C03DD">
      <w:pPr>
        <w:spacing w:before="100" w:beforeAutospacing="1" w:after="100" w:afterAutospacing="1" w:line="360" w:lineRule="auto"/>
        <w:jc w:val="both"/>
        <w:outlineLvl w:val="3"/>
        <w:rPr>
          <w:rFonts w:ascii="Roboto" w:eastAsia="Times New Roman" w:hAnsi="Roboto" w:cs="Times New Roman"/>
          <w:b/>
          <w:bCs/>
          <w:lang w:eastAsia="tr-TR"/>
        </w:rPr>
      </w:pPr>
      <w:r w:rsidRPr="009C03DD">
        <w:rPr>
          <w:rFonts w:ascii="Roboto" w:eastAsia="Times New Roman" w:hAnsi="Roboto" w:cs="Times New Roman"/>
          <w:b/>
          <w:bCs/>
          <w:lang w:eastAsia="tr-TR"/>
        </w:rPr>
        <w:t>T. 12.4.2021</w:t>
      </w:r>
    </w:p>
    <w:p w14:paraId="29155C41" w14:textId="77777777"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b/>
          <w:bCs/>
          <w:sz w:val="23"/>
          <w:szCs w:val="23"/>
          <w:lang w:eastAsia="tr-TR"/>
        </w:rPr>
        <w:t>DAVA : </w:t>
      </w:r>
      <w:r w:rsidRPr="009C03DD">
        <w:rPr>
          <w:rFonts w:ascii="Roboto" w:eastAsia="Times New Roman" w:hAnsi="Roboto" w:cs="Times New Roman"/>
          <w:sz w:val="23"/>
          <w:szCs w:val="23"/>
          <w:lang w:eastAsia="tr-TR"/>
        </w:rPr>
        <w:t>... Bölge Adliye Mahkemesi 1. Ceza Dairesinin 05.12.2019 gün ve 2019/121 Esas, 2019/129 Sayılı kararının sanık müdafii, 22.04.2020 tarihli ek kararının ise katılan ... vekili tarafından 5271 Sayılı CMK'nin 291. maddesinde belirtilen süre içinde temyiz edildiği anlaşılmıştır.</w:t>
      </w:r>
    </w:p>
    <w:p w14:paraId="3380F238" w14:textId="77777777"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Dosya incelendi.</w:t>
      </w:r>
    </w:p>
    <w:p w14:paraId="74D9288E" w14:textId="77777777"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Gereği görüşülüp düşünüldü;</w:t>
      </w:r>
    </w:p>
    <w:p w14:paraId="49F5C419" w14:textId="0CA96C2D"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b/>
          <w:bCs/>
          <w:sz w:val="23"/>
          <w:szCs w:val="23"/>
          <w:lang w:eastAsia="tr-TR"/>
        </w:rPr>
        <w:t>KARAR : </w:t>
      </w:r>
      <w:r w:rsidRPr="009C03DD">
        <w:rPr>
          <w:rFonts w:ascii="Roboto" w:eastAsia="Times New Roman" w:hAnsi="Roboto" w:cs="Times New Roman"/>
          <w:sz w:val="23"/>
          <w:szCs w:val="23"/>
          <w:lang w:eastAsia="tr-TR"/>
        </w:rPr>
        <w:t>Sanık ... hakkında annesi maktul ...'e yönelik olası kastla öldürme suçundan TCK'nın </w:t>
      </w:r>
      <w:hyperlink r:id="rId4" w:anchor="82" w:tooltip="İlgili maddeyi görmek için tıklayınız" w:history="1">
        <w:r w:rsidRPr="009C03DD">
          <w:rPr>
            <w:rFonts w:ascii="Roboto" w:eastAsia="Times New Roman" w:hAnsi="Roboto" w:cs="Times New Roman"/>
            <w:color w:val="0000FF"/>
            <w:sz w:val="23"/>
            <w:szCs w:val="23"/>
            <w:u w:val="single"/>
            <w:lang w:eastAsia="tr-TR"/>
          </w:rPr>
          <w:t>82</w:t>
        </w:r>
      </w:hyperlink>
      <w:r w:rsidRPr="009C03DD">
        <w:rPr>
          <w:rFonts w:ascii="Roboto" w:eastAsia="Times New Roman" w:hAnsi="Roboto" w:cs="Times New Roman"/>
          <w:sz w:val="23"/>
          <w:szCs w:val="23"/>
          <w:lang w:eastAsia="tr-TR"/>
        </w:rPr>
        <w:t>/1-d ve </w:t>
      </w:r>
      <w:hyperlink r:id="rId5" w:anchor="21" w:tooltip="İlgili maddeyi görmek için tıklayınız" w:history="1">
        <w:r w:rsidRPr="009C03DD">
          <w:rPr>
            <w:rFonts w:ascii="Roboto" w:eastAsia="Times New Roman" w:hAnsi="Roboto" w:cs="Times New Roman"/>
            <w:color w:val="0000FF"/>
            <w:sz w:val="23"/>
            <w:szCs w:val="23"/>
            <w:u w:val="single"/>
            <w:lang w:eastAsia="tr-TR"/>
          </w:rPr>
          <w:t>21</w:t>
        </w:r>
      </w:hyperlink>
      <w:r w:rsidRPr="009C03DD">
        <w:rPr>
          <w:rFonts w:ascii="Roboto" w:eastAsia="Times New Roman" w:hAnsi="Roboto" w:cs="Times New Roman"/>
          <w:sz w:val="23"/>
          <w:szCs w:val="23"/>
          <w:lang w:eastAsia="tr-TR"/>
        </w:rPr>
        <w:t>/2. maddeleri uyarınca müebbet, kişiyi hürriyetinden yoksun kılma suçundan TCK'nın </w:t>
      </w:r>
      <w:hyperlink r:id="rId6" w:anchor="109" w:tooltip="İlgili maddeyi görmek için tıklayınız" w:history="1">
        <w:r w:rsidRPr="009C03DD">
          <w:rPr>
            <w:rFonts w:ascii="Roboto" w:eastAsia="Times New Roman" w:hAnsi="Roboto" w:cs="Times New Roman"/>
            <w:color w:val="0000FF"/>
            <w:sz w:val="23"/>
            <w:szCs w:val="23"/>
            <w:u w:val="single"/>
            <w:lang w:eastAsia="tr-TR"/>
          </w:rPr>
          <w:t>109</w:t>
        </w:r>
      </w:hyperlink>
      <w:r w:rsidRPr="009C03DD">
        <w:rPr>
          <w:rFonts w:ascii="Roboto" w:eastAsia="Times New Roman" w:hAnsi="Roboto" w:cs="Times New Roman"/>
          <w:sz w:val="23"/>
          <w:szCs w:val="23"/>
          <w:lang w:eastAsia="tr-TR"/>
        </w:rPr>
        <w:t>/2,</w:t>
      </w:r>
      <w:hyperlink r:id="rId7" w:anchor="3" w:tooltip="İlgili maddeyi görmek için tıklayınız" w:history="1">
        <w:r w:rsidRPr="009C03DD">
          <w:rPr>
            <w:rFonts w:ascii="Roboto" w:eastAsia="Times New Roman" w:hAnsi="Roboto" w:cs="Times New Roman"/>
            <w:color w:val="0000FF"/>
            <w:sz w:val="23"/>
            <w:szCs w:val="23"/>
            <w:u w:val="single"/>
            <w:lang w:eastAsia="tr-TR"/>
          </w:rPr>
          <w:t>3</w:t>
        </w:r>
      </w:hyperlink>
      <w:r w:rsidRPr="009C03DD">
        <w:rPr>
          <w:rFonts w:ascii="Roboto" w:eastAsia="Times New Roman" w:hAnsi="Roboto" w:cs="Times New Roman"/>
          <w:sz w:val="23"/>
          <w:szCs w:val="23"/>
          <w:lang w:eastAsia="tr-TR"/>
        </w:rPr>
        <w:t>-a,e maddeleri uyarınca 8 yıl hapis cezası ile cezalandırılmasına dair Rize Ağır Ceza Mahkemesince kurulan mahkumiyet hükümlerine yönelik olarak sanık müdafii ile katılan Bakanlık vekili tarafından istinaf başvurusunda bulunulması üzerine, istinaf başvurularının esastan reddine ilişkin ... Bölge Adliye Mahkemesi 1. Ceza Dairesinin 05.12.2019 tarihli kararı ile 22.04.2020 tarihli ek kararında bozma nedenleri dışında bir isabetsizlik görülmemiş olduğundan; sanık müdafiinin, eksik incelemeye, katılan Bakanlık vekilinin, eksik incelemeye, takdiri indirim maddesinin uygulanmaması gerektiğine yönelen ve yerinde görülmeyen temyiz sebeplerinin reddiyle,</w:t>
      </w:r>
    </w:p>
    <w:p w14:paraId="7470DE4D" w14:textId="1E5C84DD"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1-) Sanık hakkında kişiyi hürriyetinden yoksun kılma suçundan kurulan mahkumiyet hükmü yönünden yapılan incelemede; 5271 Sayılı CMK'nın </w:t>
      </w:r>
      <w:hyperlink r:id="rId8" w:anchor="302" w:tooltip="İlgili maddeyi görmek için tıklayınız" w:history="1">
        <w:r w:rsidRPr="009C03DD">
          <w:rPr>
            <w:rFonts w:ascii="Roboto" w:eastAsia="Times New Roman" w:hAnsi="Roboto" w:cs="Times New Roman"/>
            <w:color w:val="0000FF"/>
            <w:sz w:val="23"/>
            <w:szCs w:val="23"/>
            <w:u w:val="single"/>
            <w:lang w:eastAsia="tr-TR"/>
          </w:rPr>
          <w:t>302</w:t>
        </w:r>
      </w:hyperlink>
      <w:r w:rsidRPr="009C03DD">
        <w:rPr>
          <w:rFonts w:ascii="Roboto" w:eastAsia="Times New Roman" w:hAnsi="Roboto" w:cs="Times New Roman"/>
          <w:sz w:val="23"/>
          <w:szCs w:val="23"/>
          <w:lang w:eastAsia="tr-TR"/>
        </w:rPr>
        <w:t>/1. maddesi uyarınca, usul ve yasaya uygun olan Bölge Adliye Mahkemesi kararına yönelik TEMYİZ İSTEMLERİNİN ESASTAN REDDİ ile HÜKMÜN ONANMASINA,</w:t>
      </w:r>
    </w:p>
    <w:p w14:paraId="290D2D68" w14:textId="77777777"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2-) Sanık hakkında olası kastla öldürme suçundan kurulan mahkumiyet hükmü yönünden yapılan incelemede;</w:t>
      </w:r>
    </w:p>
    <w:p w14:paraId="7993A4F4" w14:textId="77777777"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lastRenderedPageBreak/>
        <w:t>Dosya kapsamına göre; olay günü sanığın birlikte yaşadığı annesi maktule sinirlenmesi üzerine tokat attığı, boğazını sıktığı, koltuğa doğru iteklediği, kalp ve tansiyon hastası olduğunu bildiği ve maktulün "kalbim kalbim" diye bağırmasına rağmen eylemine devam ettiği, bıçak alarak maktule bıçağı savurduğu ancak isabet ettiremediği, ihbar üzerine gelen polisler tarafından hazırlanan 03.11.2017 tarihli tutanaktan anlaşılacağı üzere, sanığın maktule "geber, öl, oh iyi oldu sana, orospu" şeklinde bağırdığı ve polisin uyarılarına rağmen "gidin, orospuyu öldüreceğim" diyerek kapıyı açmadığı, polisin kapıyı kırarak sanığı yakaladıkları, maktulün hyoid kemiğinin her iki boynuzunda kırık meydana geldiği ve aort disseksiyonu nedeniyle hayatını kaybettiği, Adli Tıp İhtisas Kurulunun 25.06.2018 tarihli raporunda, kronik kalp damar hastalığı bulunan maktulün ölümünü, maruz kaldığı tartışma olayının efor ve stresinin tetiklediği, olayla ölüm arasında tıbben illiyet bağının bulunduğunun bildirildiği olayda:</w:t>
      </w:r>
    </w:p>
    <w:p w14:paraId="302C0AFE" w14:textId="691E7DAC"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a-) Maktulün yaşı, kronik hastalığı ve fiziki yapısı, sanığın kalp krizi geçiren maktulün "kalbim" diye bağırmasına rağmen eylemine devam etmesi, kalp krizi geçirdiğini anladığı halde bıçak alarak maktule doğru savurması, polisin engellemesi sonucunda eylemine son vermek zorunda kalması, kalp hastası olduğunu bildiği maktule "öl, geber", polis memurlarına ise "gidin, öldüreceğim" diyerek iradesini açığa çıkarması karşısında nitelikli öldürme suçundan TCK.nın 21/1. maddesi uyarınca cezalandırılması gerekirken yanılgılı değerlendirme ve yetersiz gerekçe sonucu uygulama şartları bulunmayan TCK'nın </w:t>
      </w:r>
      <w:hyperlink r:id="rId9" w:anchor="21" w:tooltip="İlgili maddeyi görmek için tıklayınız" w:history="1">
        <w:r w:rsidRPr="009C03DD">
          <w:rPr>
            <w:rFonts w:ascii="Roboto" w:eastAsia="Times New Roman" w:hAnsi="Roboto" w:cs="Times New Roman"/>
            <w:color w:val="0000FF"/>
            <w:sz w:val="23"/>
            <w:szCs w:val="23"/>
            <w:u w:val="single"/>
            <w:lang w:eastAsia="tr-TR"/>
          </w:rPr>
          <w:t>21</w:t>
        </w:r>
      </w:hyperlink>
      <w:r w:rsidRPr="009C03DD">
        <w:rPr>
          <w:rFonts w:ascii="Roboto" w:eastAsia="Times New Roman" w:hAnsi="Roboto" w:cs="Times New Roman"/>
          <w:sz w:val="23"/>
          <w:szCs w:val="23"/>
          <w:lang w:eastAsia="tr-TR"/>
        </w:rPr>
        <w:t>/2. maddesinde yer alan olası kast indirimi tatbiki suretiyle eksik ceza tayini,</w:t>
      </w:r>
    </w:p>
    <w:p w14:paraId="24AE90E9" w14:textId="77777777"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b-) Kendisini vekil ile temsil ettiren katılan ... lehine vekalet ücretine hükmedilmemesi,</w:t>
      </w:r>
    </w:p>
    <w:p w14:paraId="57F9FDEE" w14:textId="3E3F561A"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sz w:val="23"/>
          <w:szCs w:val="23"/>
          <w:lang w:eastAsia="tr-TR"/>
        </w:rPr>
        <w:t>Bozmayı gerektirmiş olup, katılan Bakanlık vekilinin temyiz istemi bu itibarla yerinde görüldüğünden, hükmün, tebliğnamedeki düşünceye aykırı olarak, 5271 Sayılı CMK'nın </w:t>
      </w:r>
      <w:hyperlink r:id="rId10" w:anchor="302" w:tooltip="İlgili maddeyi görmek için tıklayınız" w:history="1">
        <w:r w:rsidRPr="009C03DD">
          <w:rPr>
            <w:rFonts w:ascii="Roboto" w:eastAsia="Times New Roman" w:hAnsi="Roboto" w:cs="Times New Roman"/>
            <w:color w:val="0000FF"/>
            <w:sz w:val="23"/>
            <w:szCs w:val="23"/>
            <w:u w:val="single"/>
            <w:lang w:eastAsia="tr-TR"/>
          </w:rPr>
          <w:t>302</w:t>
        </w:r>
      </w:hyperlink>
      <w:r w:rsidRPr="009C03DD">
        <w:rPr>
          <w:rFonts w:ascii="Roboto" w:eastAsia="Times New Roman" w:hAnsi="Roboto" w:cs="Times New Roman"/>
          <w:sz w:val="23"/>
          <w:szCs w:val="23"/>
          <w:lang w:eastAsia="tr-TR"/>
        </w:rPr>
        <w:t>/2. maddesi uyarınca BOZULMASINA, sanık hakkında tayin olunan ceza miktarı ile tutuklu kaldığı süre dikkate alınarak sanık müdafiinin tahliye talebinin REDDİNE,</w:t>
      </w:r>
    </w:p>
    <w:p w14:paraId="2C8F71A6" w14:textId="09157305" w:rsidR="009C03DD" w:rsidRPr="009C03DD" w:rsidRDefault="009C03DD" w:rsidP="009C03DD">
      <w:pPr>
        <w:spacing w:before="100" w:beforeAutospacing="1" w:after="100" w:afterAutospacing="1" w:line="360" w:lineRule="auto"/>
        <w:jc w:val="both"/>
        <w:rPr>
          <w:rFonts w:ascii="Roboto" w:eastAsia="Times New Roman" w:hAnsi="Roboto" w:cs="Times New Roman"/>
          <w:sz w:val="23"/>
          <w:szCs w:val="23"/>
          <w:lang w:eastAsia="tr-TR"/>
        </w:rPr>
      </w:pPr>
      <w:r w:rsidRPr="009C03DD">
        <w:rPr>
          <w:rFonts w:ascii="Roboto" w:eastAsia="Times New Roman" w:hAnsi="Roboto" w:cs="Times New Roman"/>
          <w:b/>
          <w:bCs/>
          <w:sz w:val="23"/>
          <w:szCs w:val="23"/>
          <w:lang w:eastAsia="tr-TR"/>
        </w:rPr>
        <w:t>SONUÇ : </w:t>
      </w:r>
      <w:r w:rsidRPr="009C03DD">
        <w:rPr>
          <w:rFonts w:ascii="Roboto" w:eastAsia="Times New Roman" w:hAnsi="Roboto" w:cs="Times New Roman"/>
          <w:sz w:val="23"/>
          <w:szCs w:val="23"/>
          <w:lang w:eastAsia="tr-TR"/>
        </w:rPr>
        <w:t>Dosyanın, 28.02.2019 tarihinde Resmi Gazete'de yayımlanarak yürürlüğe giren 7165 Sayılı Kanun'un </w:t>
      </w:r>
      <w:hyperlink r:id="rId11" w:anchor="8" w:tooltip="İlgili maddeyi görmek için tıklayınız" w:history="1">
        <w:r w:rsidRPr="009C03DD">
          <w:rPr>
            <w:rFonts w:ascii="Roboto" w:eastAsia="Times New Roman" w:hAnsi="Roboto" w:cs="Times New Roman"/>
            <w:color w:val="0000FF"/>
            <w:sz w:val="23"/>
            <w:szCs w:val="23"/>
            <w:u w:val="single"/>
            <w:lang w:eastAsia="tr-TR"/>
          </w:rPr>
          <w:t>8</w:t>
        </w:r>
      </w:hyperlink>
      <w:r w:rsidRPr="009C03DD">
        <w:rPr>
          <w:rFonts w:ascii="Roboto" w:eastAsia="Times New Roman" w:hAnsi="Roboto" w:cs="Times New Roman"/>
          <w:sz w:val="23"/>
          <w:szCs w:val="23"/>
          <w:lang w:eastAsia="tr-TR"/>
        </w:rPr>
        <w:t>. maddesiyle değişik CMK'nın </w:t>
      </w:r>
      <w:hyperlink r:id="rId12" w:anchor="304" w:tooltip="İlgili maddeyi görmek için tıklayınız" w:history="1">
        <w:r w:rsidRPr="009C03DD">
          <w:rPr>
            <w:rFonts w:ascii="Roboto" w:eastAsia="Times New Roman" w:hAnsi="Roboto" w:cs="Times New Roman"/>
            <w:color w:val="0000FF"/>
            <w:sz w:val="23"/>
            <w:szCs w:val="23"/>
            <w:u w:val="single"/>
            <w:lang w:eastAsia="tr-TR"/>
          </w:rPr>
          <w:t>304</w:t>
        </w:r>
      </w:hyperlink>
      <w:r w:rsidRPr="009C03DD">
        <w:rPr>
          <w:rFonts w:ascii="Roboto" w:eastAsia="Times New Roman" w:hAnsi="Roboto" w:cs="Times New Roman"/>
          <w:sz w:val="23"/>
          <w:szCs w:val="23"/>
          <w:lang w:eastAsia="tr-TR"/>
        </w:rPr>
        <w:t>/2-a. maddesi uyarınca Rize Ağır Ceza Mahkemesi'ne, Yargıtay ilamının bir örneğinin ise ... Bölge Adliye Mahkemesi 1. Ceza Dairesi'ne gönderilmek üzere Yargıtay Cumhuriyet Başsavcılığı'na TEVDİİNE, 12/04/2021 gününde oybirliği ile karar verildi.</w:t>
      </w:r>
    </w:p>
    <w:p w14:paraId="1607AD25" w14:textId="77777777" w:rsidR="009C03DD" w:rsidRPr="009C03DD" w:rsidRDefault="009C03DD" w:rsidP="009C03DD">
      <w:pPr>
        <w:spacing w:line="360" w:lineRule="auto"/>
        <w:jc w:val="both"/>
        <w:rPr>
          <w:rFonts w:ascii="Roboto" w:eastAsia="Times New Roman" w:hAnsi="Roboto" w:cs="Times New Roman"/>
          <w:sz w:val="23"/>
          <w:szCs w:val="23"/>
          <w:lang w:eastAsia="tr-TR"/>
        </w:rPr>
      </w:pPr>
      <w:r w:rsidRPr="009C03DD">
        <w:rPr>
          <w:rFonts w:ascii="Material Icons" w:eastAsia="Times New Roman" w:hAnsi="Material Icons" w:cs="Times New Roman"/>
          <w:color w:val="FFFFFF"/>
          <w:sz w:val="23"/>
          <w:szCs w:val="23"/>
          <w:lang w:eastAsia="tr-TR"/>
        </w:rPr>
        <w:t>menu</w:t>
      </w:r>
    </w:p>
    <w:p w14:paraId="2DB5B875" w14:textId="1B90FAFB" w:rsidR="009D03C1" w:rsidRPr="009C03DD" w:rsidRDefault="009D03C1" w:rsidP="009C03DD">
      <w:pPr>
        <w:spacing w:line="360" w:lineRule="auto"/>
        <w:jc w:val="both"/>
      </w:pPr>
    </w:p>
    <w:sectPr w:rsidR="009D03C1" w:rsidRPr="009C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aterial Ico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D4"/>
    <w:rsid w:val="001F18D4"/>
    <w:rsid w:val="006B63A3"/>
    <w:rsid w:val="009C03DD"/>
    <w:rsid w:val="009D03C1"/>
    <w:rsid w:val="00C47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C4C129B"/>
  <w15:chartTrackingRefBased/>
  <w15:docId w15:val="{F421A03E-DB5D-7D4D-8D95-0FA2B522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1F18D4"/>
    <w:pPr>
      <w:spacing w:before="100" w:beforeAutospacing="1" w:after="100" w:afterAutospacing="1"/>
      <w:outlineLvl w:val="3"/>
    </w:pPr>
    <w:rPr>
      <w:rFonts w:ascii="Times New Roman" w:eastAsia="Times New Roman" w:hAnsi="Times New Roman"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F18D4"/>
    <w:rPr>
      <w:rFonts w:ascii="Times New Roman" w:eastAsia="Times New Roman" w:hAnsi="Times New Roman" w:cs="Times New Roman"/>
      <w:b/>
      <w:bCs/>
      <w:lang w:eastAsia="tr-TR"/>
    </w:rPr>
  </w:style>
  <w:style w:type="character" w:customStyle="1" w:styleId="apple-converted-space">
    <w:name w:val="apple-converted-space"/>
    <w:basedOn w:val="VarsaylanParagrafYazTipi"/>
    <w:rsid w:val="001F18D4"/>
  </w:style>
  <w:style w:type="character" w:styleId="Kpr">
    <w:name w:val="Hyperlink"/>
    <w:basedOn w:val="VarsaylanParagrafYazTipi"/>
    <w:uiPriority w:val="99"/>
    <w:semiHidden/>
    <w:unhideWhenUsed/>
    <w:rsid w:val="001F18D4"/>
    <w:rPr>
      <w:color w:val="0000FF"/>
      <w:u w:val="single"/>
    </w:rPr>
  </w:style>
  <w:style w:type="paragraph" w:styleId="NormalWeb">
    <w:name w:val="Normal (Web)"/>
    <w:basedOn w:val="Normal"/>
    <w:uiPriority w:val="99"/>
    <w:semiHidden/>
    <w:unhideWhenUsed/>
    <w:rsid w:val="001F18D4"/>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3554">
      <w:bodyDiv w:val="1"/>
      <w:marLeft w:val="0"/>
      <w:marRight w:val="0"/>
      <w:marTop w:val="0"/>
      <w:marBottom w:val="0"/>
      <w:divBdr>
        <w:top w:val="none" w:sz="0" w:space="0" w:color="auto"/>
        <w:left w:val="none" w:sz="0" w:space="0" w:color="auto"/>
        <w:bottom w:val="none" w:sz="0" w:space="0" w:color="auto"/>
        <w:right w:val="none" w:sz="0" w:space="0" w:color="auto"/>
      </w:divBdr>
      <w:divsChild>
        <w:div w:id="674460974">
          <w:marLeft w:val="0"/>
          <w:marRight w:val="0"/>
          <w:marTop w:val="0"/>
          <w:marBottom w:val="0"/>
          <w:divBdr>
            <w:top w:val="none" w:sz="0" w:space="0" w:color="auto"/>
            <w:left w:val="none" w:sz="0" w:space="0" w:color="auto"/>
            <w:bottom w:val="none" w:sz="0" w:space="0" w:color="auto"/>
            <w:right w:val="none" w:sz="0" w:space="0" w:color="auto"/>
          </w:divBdr>
        </w:div>
      </w:divsChild>
    </w:div>
    <w:div w:id="1072194120">
      <w:bodyDiv w:val="1"/>
      <w:marLeft w:val="0"/>
      <w:marRight w:val="0"/>
      <w:marTop w:val="0"/>
      <w:marBottom w:val="0"/>
      <w:divBdr>
        <w:top w:val="none" w:sz="0" w:space="0" w:color="auto"/>
        <w:left w:val="none" w:sz="0" w:space="0" w:color="auto"/>
        <w:bottom w:val="none" w:sz="0" w:space="0" w:color="auto"/>
        <w:right w:val="none" w:sz="0" w:space="0" w:color="auto"/>
      </w:divBdr>
      <w:divsChild>
        <w:div w:id="1416588244">
          <w:marLeft w:val="0"/>
          <w:marRight w:val="0"/>
          <w:marTop w:val="0"/>
          <w:marBottom w:val="0"/>
          <w:divBdr>
            <w:top w:val="none" w:sz="0" w:space="0" w:color="auto"/>
            <w:left w:val="none" w:sz="0" w:space="0" w:color="auto"/>
            <w:bottom w:val="none" w:sz="0" w:space="0" w:color="auto"/>
            <w:right w:val="none" w:sz="0" w:space="0" w:color="auto"/>
          </w:divBdr>
        </w:div>
      </w:divsChild>
    </w:div>
    <w:div w:id="1168251797">
      <w:bodyDiv w:val="1"/>
      <w:marLeft w:val="0"/>
      <w:marRight w:val="0"/>
      <w:marTop w:val="0"/>
      <w:marBottom w:val="0"/>
      <w:divBdr>
        <w:top w:val="none" w:sz="0" w:space="0" w:color="auto"/>
        <w:left w:val="none" w:sz="0" w:space="0" w:color="auto"/>
        <w:bottom w:val="none" w:sz="0" w:space="0" w:color="auto"/>
        <w:right w:val="none" w:sz="0" w:space="0" w:color="auto"/>
      </w:divBdr>
      <w:divsChild>
        <w:div w:id="656416665">
          <w:marLeft w:val="0"/>
          <w:marRight w:val="0"/>
          <w:marTop w:val="0"/>
          <w:marBottom w:val="0"/>
          <w:divBdr>
            <w:top w:val="none" w:sz="0" w:space="0" w:color="auto"/>
            <w:left w:val="none" w:sz="0" w:space="0" w:color="auto"/>
            <w:bottom w:val="none" w:sz="0" w:space="0" w:color="auto"/>
            <w:right w:val="none" w:sz="0" w:space="0" w:color="auto"/>
          </w:divBdr>
        </w:div>
      </w:divsChild>
    </w:div>
    <w:div w:id="1261571715">
      <w:bodyDiv w:val="1"/>
      <w:marLeft w:val="0"/>
      <w:marRight w:val="0"/>
      <w:marTop w:val="0"/>
      <w:marBottom w:val="0"/>
      <w:divBdr>
        <w:top w:val="none" w:sz="0" w:space="0" w:color="auto"/>
        <w:left w:val="none" w:sz="0" w:space="0" w:color="auto"/>
        <w:bottom w:val="none" w:sz="0" w:space="0" w:color="auto"/>
        <w:right w:val="none" w:sz="0" w:space="0" w:color="auto"/>
      </w:divBdr>
      <w:divsChild>
        <w:div w:id="85687066">
          <w:marLeft w:val="0"/>
          <w:marRight w:val="0"/>
          <w:marTop w:val="0"/>
          <w:marBottom w:val="0"/>
          <w:divBdr>
            <w:top w:val="none" w:sz="0" w:space="0" w:color="auto"/>
            <w:left w:val="none" w:sz="0" w:space="0" w:color="auto"/>
            <w:bottom w:val="none" w:sz="0" w:space="0" w:color="auto"/>
            <w:right w:val="none" w:sz="0" w:space="0" w:color="auto"/>
          </w:divBdr>
        </w:div>
      </w:divsChild>
    </w:div>
    <w:div w:id="1707023054">
      <w:bodyDiv w:val="1"/>
      <w:marLeft w:val="0"/>
      <w:marRight w:val="0"/>
      <w:marTop w:val="0"/>
      <w:marBottom w:val="0"/>
      <w:divBdr>
        <w:top w:val="none" w:sz="0" w:space="0" w:color="auto"/>
        <w:left w:val="none" w:sz="0" w:space="0" w:color="auto"/>
        <w:bottom w:val="none" w:sz="0" w:space="0" w:color="auto"/>
        <w:right w:val="none" w:sz="0" w:space="0" w:color="auto"/>
      </w:divBdr>
      <w:divsChild>
        <w:div w:id="1041592310">
          <w:marLeft w:val="0"/>
          <w:marRight w:val="0"/>
          <w:marTop w:val="0"/>
          <w:marBottom w:val="0"/>
          <w:divBdr>
            <w:top w:val="none" w:sz="0" w:space="0" w:color="auto"/>
            <w:left w:val="none" w:sz="0" w:space="0" w:color="auto"/>
            <w:bottom w:val="none" w:sz="0" w:space="0" w:color="auto"/>
            <w:right w:val="none" w:sz="0" w:space="0" w:color="auto"/>
          </w:divBdr>
        </w:div>
      </w:divsChild>
    </w:div>
    <w:div w:id="2075467298">
      <w:bodyDiv w:val="1"/>
      <w:marLeft w:val="0"/>
      <w:marRight w:val="0"/>
      <w:marTop w:val="0"/>
      <w:marBottom w:val="0"/>
      <w:divBdr>
        <w:top w:val="none" w:sz="0" w:space="0" w:color="auto"/>
        <w:left w:val="none" w:sz="0" w:space="0" w:color="auto"/>
        <w:bottom w:val="none" w:sz="0" w:space="0" w:color="auto"/>
        <w:right w:val="none" w:sz="0" w:space="0" w:color="auto"/>
      </w:divBdr>
      <w:divsChild>
        <w:div w:id="178842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ezgicirak/Desktop/Karar%20I&#775;nceleme%20Sempozyum/tc527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Users/ezgicirak/Desktop/Karar%20I&#775;nceleme%20Sempozyum/tc5237.htm" TargetMode="External"/><Relationship Id="rId12" Type="http://schemas.openxmlformats.org/officeDocument/2006/relationships/hyperlink" Target="file:///Users/ezgicirak/Desktop/Karar%20I&#775;nceleme%20Sempozyum/tc527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ezgicirak/Desktop/Karar%20I&#775;nceleme%20Sempozyum/tc5237.htm" TargetMode="External"/><Relationship Id="rId11" Type="http://schemas.openxmlformats.org/officeDocument/2006/relationships/hyperlink" Target="file:///Users/ezgicirak/Desktop/Karar%20I&#775;nceleme%20Sempozyum/tc7165.htm" TargetMode="External"/><Relationship Id="rId5" Type="http://schemas.openxmlformats.org/officeDocument/2006/relationships/hyperlink" Target="file:///Users/ezgicirak/Desktop/Karar%20I&#775;nceleme%20Sempozyum/tc5237.htm" TargetMode="External"/><Relationship Id="rId10" Type="http://schemas.openxmlformats.org/officeDocument/2006/relationships/hyperlink" Target="file:///Users/ezgicirak/Desktop/Karar%20I&#775;nceleme%20Sempozyum/tc5271.htm" TargetMode="External"/><Relationship Id="rId4" Type="http://schemas.openxmlformats.org/officeDocument/2006/relationships/hyperlink" Target="file:///Users/ezgicirak/Desktop/Karar%20I&#775;nceleme%20Sempozyum/tc5237.htm" TargetMode="External"/><Relationship Id="rId9" Type="http://schemas.openxmlformats.org/officeDocument/2006/relationships/hyperlink" Target="file:///Users/ezgicirak/Desktop/Karar%20I&#775;nceleme%20Sempozyum/tc5237.ht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4664</Characters>
  <Application>Microsoft Office Word</Application>
  <DocSecurity>0</DocSecurity>
  <Lines>245</Lines>
  <Paragraphs>86</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Çırak</dc:creator>
  <cp:keywords/>
  <dc:description/>
  <cp:lastModifiedBy>Ezgi Çırak</cp:lastModifiedBy>
  <cp:revision>2</cp:revision>
  <cp:lastPrinted>2022-02-17T19:44:00Z</cp:lastPrinted>
  <dcterms:created xsi:type="dcterms:W3CDTF">2022-02-17T19:45:00Z</dcterms:created>
  <dcterms:modified xsi:type="dcterms:W3CDTF">2022-02-17T19:45:00Z</dcterms:modified>
</cp:coreProperties>
</file>